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95" w:rsidRDefault="00A26FBE" w:rsidP="00495195">
      <w:pPr>
        <w:spacing w:line="360" w:lineRule="auto"/>
        <w:rPr>
          <w:szCs w:val="21"/>
        </w:rPr>
      </w:pPr>
      <w:r>
        <w:rPr>
          <w:rFonts w:hint="eastAsia"/>
          <w:noProof/>
          <w:szCs w:val="21"/>
        </w:rPr>
        <w:drawing>
          <wp:anchor distT="0" distB="0" distL="114300" distR="114300" simplePos="0" relativeHeight="251658240" behindDoc="0" locked="0" layoutInCell="1" allowOverlap="1">
            <wp:simplePos x="0" y="0"/>
            <wp:positionH relativeFrom="column">
              <wp:posOffset>3526155</wp:posOffset>
            </wp:positionH>
            <wp:positionV relativeFrom="paragraph">
              <wp:posOffset>438150</wp:posOffset>
            </wp:positionV>
            <wp:extent cx="2247900" cy="2867025"/>
            <wp:effectExtent l="19050" t="0" r="0" b="0"/>
            <wp:wrapSquare wrapText="bothSides"/>
            <wp:docPr id="2" name="图片 0" descr="知识帝国立体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知识帝国立体图.jpg"/>
                    <pic:cNvPicPr/>
                  </pic:nvPicPr>
                  <pic:blipFill>
                    <a:blip r:embed="rId7" cstate="print"/>
                    <a:stretch>
                      <a:fillRect/>
                    </a:stretch>
                  </pic:blipFill>
                  <pic:spPr>
                    <a:xfrm>
                      <a:off x="0" y="0"/>
                      <a:ext cx="2247900" cy="2867025"/>
                    </a:xfrm>
                    <a:prstGeom prst="rect">
                      <a:avLst/>
                    </a:prstGeom>
                  </pic:spPr>
                </pic:pic>
              </a:graphicData>
            </a:graphic>
          </wp:anchor>
        </w:drawing>
      </w:r>
      <w:r w:rsidR="00495195">
        <w:rPr>
          <w:rFonts w:hint="eastAsia"/>
          <w:szCs w:val="21"/>
        </w:rPr>
        <w:t>书名：</w:t>
      </w:r>
      <w:r w:rsidR="00495195" w:rsidRPr="00A003FC">
        <w:rPr>
          <w:szCs w:val="21"/>
        </w:rPr>
        <w:t>知识帝国：清代在华的英国博物学家（海外中国研究文库）</w:t>
      </w:r>
      <w:r w:rsidR="00495195">
        <w:rPr>
          <w:rFonts w:hint="eastAsia"/>
          <w:b/>
          <w:szCs w:val="21"/>
        </w:rPr>
        <w:t xml:space="preserve">              </w:t>
      </w:r>
    </w:p>
    <w:p w:rsidR="00495195" w:rsidRPr="00A26FBE" w:rsidRDefault="00495195" w:rsidP="00A26FBE">
      <w:pPr>
        <w:spacing w:line="360" w:lineRule="auto"/>
        <w:rPr>
          <w:rFonts w:hint="eastAsia"/>
          <w:noProof/>
          <w:szCs w:val="21"/>
        </w:rPr>
      </w:pPr>
      <w:r>
        <w:rPr>
          <w:rFonts w:hint="eastAsia"/>
          <w:noProof/>
          <w:szCs w:val="21"/>
        </w:rPr>
        <w:t>书号：</w:t>
      </w:r>
      <w:r w:rsidRPr="00A26FBE">
        <w:rPr>
          <w:noProof/>
          <w:szCs w:val="21"/>
        </w:rPr>
        <w:t>978-7-300-25370-1</w:t>
      </w:r>
    </w:p>
    <w:p w:rsidR="00495195" w:rsidRPr="00A003FC" w:rsidRDefault="00495195" w:rsidP="00A26FBE">
      <w:pPr>
        <w:spacing w:line="360" w:lineRule="auto"/>
        <w:rPr>
          <w:noProof/>
          <w:szCs w:val="21"/>
        </w:rPr>
      </w:pPr>
      <w:r>
        <w:rPr>
          <w:rFonts w:hint="eastAsia"/>
          <w:noProof/>
          <w:szCs w:val="21"/>
        </w:rPr>
        <w:t>著者：</w:t>
      </w:r>
      <w:r w:rsidRPr="00A003FC">
        <w:rPr>
          <w:noProof/>
          <w:szCs w:val="21"/>
        </w:rPr>
        <w:t>【美】范发迪</w:t>
      </w:r>
      <w:r w:rsidRPr="00A003FC">
        <w:rPr>
          <w:noProof/>
          <w:szCs w:val="21"/>
        </w:rPr>
        <w:t xml:space="preserve"> </w:t>
      </w:r>
      <w:r w:rsidRPr="00A003FC">
        <w:rPr>
          <w:noProof/>
          <w:szCs w:val="21"/>
        </w:rPr>
        <w:t>著</w:t>
      </w:r>
      <w:r w:rsidRPr="00A003FC">
        <w:rPr>
          <w:noProof/>
          <w:szCs w:val="21"/>
        </w:rPr>
        <w:t> </w:t>
      </w:r>
      <w:r>
        <w:rPr>
          <w:rFonts w:hint="eastAsia"/>
          <w:noProof/>
          <w:szCs w:val="21"/>
        </w:rPr>
        <w:t>袁剑</w:t>
      </w:r>
      <w:r>
        <w:rPr>
          <w:rFonts w:hint="eastAsia"/>
          <w:noProof/>
          <w:szCs w:val="21"/>
        </w:rPr>
        <w:t xml:space="preserve"> </w:t>
      </w:r>
      <w:r>
        <w:rPr>
          <w:rFonts w:hint="eastAsia"/>
          <w:noProof/>
          <w:szCs w:val="21"/>
        </w:rPr>
        <w:t>译</w:t>
      </w:r>
    </w:p>
    <w:p w:rsidR="00495195" w:rsidRDefault="00495195" w:rsidP="00495195">
      <w:pPr>
        <w:spacing w:line="360" w:lineRule="auto"/>
        <w:rPr>
          <w:noProof/>
          <w:szCs w:val="21"/>
        </w:rPr>
      </w:pPr>
      <w:r>
        <w:rPr>
          <w:rFonts w:hint="eastAsia"/>
          <w:noProof/>
          <w:szCs w:val="21"/>
        </w:rPr>
        <w:t>责任编辑：吕鹏军</w:t>
      </w:r>
    </w:p>
    <w:p w:rsidR="00A26FBE" w:rsidRDefault="00495195" w:rsidP="00495195">
      <w:pPr>
        <w:spacing w:line="360" w:lineRule="auto"/>
        <w:rPr>
          <w:rFonts w:hint="eastAsia"/>
          <w:noProof/>
          <w:szCs w:val="21"/>
        </w:rPr>
      </w:pPr>
      <w:r w:rsidRPr="00A26FBE">
        <w:rPr>
          <w:rFonts w:hint="eastAsia"/>
          <w:noProof/>
          <w:szCs w:val="21"/>
        </w:rPr>
        <w:t>成品：</w:t>
      </w:r>
      <w:r>
        <w:rPr>
          <w:rFonts w:hint="eastAsia"/>
          <w:noProof/>
          <w:szCs w:val="21"/>
        </w:rPr>
        <w:t>160*230</w:t>
      </w:r>
    </w:p>
    <w:p w:rsidR="00495195" w:rsidRDefault="00495195" w:rsidP="00495195">
      <w:pPr>
        <w:spacing w:line="360" w:lineRule="auto"/>
        <w:rPr>
          <w:noProof/>
          <w:szCs w:val="21"/>
        </w:rPr>
      </w:pPr>
      <w:r>
        <w:rPr>
          <w:rFonts w:hint="eastAsia"/>
          <w:noProof/>
          <w:szCs w:val="21"/>
        </w:rPr>
        <w:t>页数：</w:t>
      </w:r>
      <w:r>
        <w:rPr>
          <w:rFonts w:hint="eastAsia"/>
          <w:noProof/>
          <w:szCs w:val="21"/>
        </w:rPr>
        <w:t>249</w:t>
      </w:r>
    </w:p>
    <w:p w:rsidR="00495195" w:rsidRDefault="00495195" w:rsidP="00495195">
      <w:pPr>
        <w:spacing w:line="360" w:lineRule="auto"/>
        <w:rPr>
          <w:noProof/>
          <w:szCs w:val="21"/>
        </w:rPr>
      </w:pPr>
      <w:r w:rsidRPr="00A26FBE">
        <w:rPr>
          <w:rFonts w:hint="eastAsia"/>
          <w:noProof/>
          <w:szCs w:val="21"/>
        </w:rPr>
        <w:t>纸张：</w:t>
      </w:r>
      <w:r>
        <w:rPr>
          <w:rFonts w:hint="eastAsia"/>
          <w:noProof/>
          <w:szCs w:val="21"/>
        </w:rPr>
        <w:t>70</w:t>
      </w:r>
      <w:r>
        <w:rPr>
          <w:rFonts w:hint="eastAsia"/>
          <w:noProof/>
          <w:szCs w:val="21"/>
        </w:rPr>
        <w:t>克玉龙胶·</w:t>
      </w:r>
    </w:p>
    <w:p w:rsidR="00495195" w:rsidRDefault="00495195" w:rsidP="00495195">
      <w:pPr>
        <w:spacing w:line="360" w:lineRule="auto"/>
        <w:rPr>
          <w:noProof/>
          <w:szCs w:val="21"/>
        </w:rPr>
      </w:pPr>
      <w:r w:rsidRPr="00A26FBE">
        <w:rPr>
          <w:rFonts w:hint="eastAsia"/>
          <w:noProof/>
          <w:szCs w:val="21"/>
        </w:rPr>
        <w:t>装帧：</w:t>
      </w:r>
      <w:r>
        <w:rPr>
          <w:rFonts w:hint="eastAsia"/>
          <w:noProof/>
          <w:szCs w:val="21"/>
        </w:rPr>
        <w:t>精装</w:t>
      </w:r>
    </w:p>
    <w:p w:rsidR="00495195" w:rsidRDefault="00495195" w:rsidP="00495195">
      <w:pPr>
        <w:spacing w:line="360" w:lineRule="auto"/>
        <w:rPr>
          <w:noProof/>
          <w:szCs w:val="21"/>
        </w:rPr>
      </w:pPr>
      <w:r>
        <w:rPr>
          <w:rFonts w:hint="eastAsia"/>
          <w:noProof/>
          <w:szCs w:val="21"/>
        </w:rPr>
        <w:t>出版时间：</w:t>
      </w:r>
      <w:r>
        <w:rPr>
          <w:rFonts w:hint="eastAsia"/>
          <w:noProof/>
          <w:szCs w:val="21"/>
        </w:rPr>
        <w:t>2018-01-15</w:t>
      </w:r>
    </w:p>
    <w:p w:rsidR="00495195" w:rsidRDefault="00495195" w:rsidP="00495195">
      <w:pPr>
        <w:spacing w:line="360" w:lineRule="auto"/>
        <w:rPr>
          <w:noProof/>
          <w:szCs w:val="21"/>
        </w:rPr>
      </w:pPr>
      <w:r>
        <w:rPr>
          <w:rFonts w:hint="eastAsia"/>
          <w:noProof/>
          <w:szCs w:val="21"/>
        </w:rPr>
        <w:t>定价：</w:t>
      </w:r>
      <w:r>
        <w:rPr>
          <w:rFonts w:hint="eastAsia"/>
          <w:noProof/>
          <w:szCs w:val="21"/>
        </w:rPr>
        <w:t>69</w:t>
      </w:r>
      <w:r>
        <w:rPr>
          <w:rFonts w:hint="eastAsia"/>
          <w:noProof/>
          <w:szCs w:val="21"/>
        </w:rPr>
        <w:t>元</w:t>
      </w:r>
    </w:p>
    <w:p w:rsidR="00495195" w:rsidRPr="00A26FBE" w:rsidRDefault="00495195" w:rsidP="00495195">
      <w:pPr>
        <w:spacing w:line="360" w:lineRule="auto"/>
        <w:rPr>
          <w:noProof/>
          <w:szCs w:val="21"/>
        </w:rPr>
      </w:pPr>
      <w:r>
        <w:rPr>
          <w:rFonts w:hint="eastAsia"/>
          <w:noProof/>
          <w:szCs w:val="21"/>
        </w:rPr>
        <w:t>出版社：</w:t>
      </w:r>
      <w:r w:rsidRPr="00A26FBE">
        <w:rPr>
          <w:rFonts w:hint="eastAsia"/>
          <w:noProof/>
          <w:szCs w:val="21"/>
        </w:rPr>
        <w:t>中国人民大学出版社</w:t>
      </w:r>
    </w:p>
    <w:p w:rsidR="00495195" w:rsidRDefault="00495195" w:rsidP="00495195">
      <w:pPr>
        <w:spacing w:line="360" w:lineRule="auto"/>
        <w:ind w:firstLineChars="50" w:firstLine="105"/>
      </w:pPr>
    </w:p>
    <w:p w:rsidR="00495195" w:rsidRDefault="00495195" w:rsidP="00495195">
      <w:pPr>
        <w:numPr>
          <w:ilvl w:val="0"/>
          <w:numId w:val="1"/>
        </w:numPr>
        <w:spacing w:line="360" w:lineRule="auto"/>
        <w:rPr>
          <w:color w:val="999999"/>
          <w:sz w:val="18"/>
          <w:szCs w:val="18"/>
        </w:rPr>
      </w:pPr>
      <w:r>
        <w:rPr>
          <w:rFonts w:ascii="黑体" w:eastAsia="黑体" w:hAnsi="华文细黑" w:cs="Arial" w:hint="eastAsia"/>
          <w:color w:val="FF0000"/>
        </w:rPr>
        <w:t>本书卖点</w:t>
      </w:r>
    </w:p>
    <w:p w:rsidR="00495195" w:rsidRDefault="00495195" w:rsidP="00495195">
      <w:pPr>
        <w:numPr>
          <w:ilvl w:val="1"/>
          <w:numId w:val="1"/>
        </w:numPr>
        <w:spacing w:line="360" w:lineRule="auto"/>
        <w:rPr>
          <w:rFonts w:ascii="宋体" w:hAnsi="宋体"/>
          <w:sz w:val="24"/>
        </w:rPr>
      </w:pPr>
      <w:r>
        <w:rPr>
          <w:rFonts w:ascii="宋体" w:hAnsi="宋体" w:hint="eastAsia"/>
          <w:sz w:val="24"/>
        </w:rPr>
        <w:t>包括了《红雨：一个中国县域七个世纪的暴力史》、《中国环境史：从史前到现代》等多部经典好书的</w:t>
      </w:r>
      <w:r w:rsidRPr="00085D30">
        <w:rPr>
          <w:rFonts w:ascii="宋体" w:hAnsi="宋体" w:hint="eastAsia"/>
          <w:b/>
          <w:sz w:val="24"/>
        </w:rPr>
        <w:t>海外中国研究文库</w:t>
      </w:r>
      <w:r>
        <w:rPr>
          <w:rFonts w:ascii="宋体" w:hAnsi="宋体" w:hint="eastAsia"/>
          <w:sz w:val="24"/>
        </w:rPr>
        <w:t>系列重磅新书。</w:t>
      </w:r>
    </w:p>
    <w:p w:rsidR="00495195" w:rsidRDefault="00495195" w:rsidP="00495195">
      <w:pPr>
        <w:numPr>
          <w:ilvl w:val="1"/>
          <w:numId w:val="1"/>
        </w:numPr>
        <w:spacing w:line="360" w:lineRule="auto"/>
        <w:rPr>
          <w:rFonts w:ascii="宋体" w:hAnsi="宋体"/>
          <w:sz w:val="24"/>
        </w:rPr>
      </w:pPr>
      <w:r>
        <w:rPr>
          <w:rFonts w:ascii="宋体" w:hAnsi="宋体" w:hint="eastAsia"/>
          <w:sz w:val="24"/>
        </w:rPr>
        <w:t>从文化遭遇的观点出发，选取博物学的学科视角，</w:t>
      </w:r>
      <w:r w:rsidRPr="00F25A56">
        <w:rPr>
          <w:rFonts w:ascii="宋体" w:hAnsi="宋体" w:hint="eastAsia"/>
          <w:sz w:val="24"/>
        </w:rPr>
        <w:t>剖析近代中国与西方世界的交流与碰撞</w:t>
      </w:r>
      <w:r>
        <w:rPr>
          <w:rFonts w:ascii="宋体" w:hAnsi="宋体" w:hint="eastAsia"/>
          <w:sz w:val="24"/>
        </w:rPr>
        <w:t>。</w:t>
      </w:r>
    </w:p>
    <w:p w:rsidR="00495195" w:rsidRDefault="00495195" w:rsidP="00495195">
      <w:pPr>
        <w:numPr>
          <w:ilvl w:val="1"/>
          <w:numId w:val="1"/>
        </w:numPr>
        <w:spacing w:line="360" w:lineRule="auto"/>
        <w:rPr>
          <w:rFonts w:ascii="宋体" w:hAnsi="宋体" w:hint="eastAsia"/>
          <w:sz w:val="24"/>
        </w:rPr>
      </w:pPr>
      <w:r>
        <w:rPr>
          <w:rFonts w:ascii="宋体" w:hAnsi="宋体" w:hint="eastAsia"/>
          <w:sz w:val="24"/>
        </w:rPr>
        <w:t>关于英国在华博物学家研究的必读经典，</w:t>
      </w:r>
      <w:r w:rsidRPr="00085D30">
        <w:rPr>
          <w:rFonts w:ascii="宋体" w:hAnsi="宋体" w:hint="eastAsia"/>
          <w:sz w:val="24"/>
        </w:rPr>
        <w:t>以中国人和英国</w:t>
      </w:r>
      <w:r>
        <w:rPr>
          <w:rFonts w:ascii="宋体" w:hAnsi="宋体" w:hint="eastAsia"/>
          <w:sz w:val="24"/>
        </w:rPr>
        <w:t>博物学家之间的交往为切入点，深入探索中西关系中某些被忽略的层面。</w:t>
      </w:r>
    </w:p>
    <w:p w:rsidR="00A26FBE" w:rsidRPr="00C80513" w:rsidRDefault="00A26FBE" w:rsidP="00A26FBE">
      <w:pPr>
        <w:spacing w:line="360" w:lineRule="auto"/>
        <w:ind w:left="840"/>
        <w:rPr>
          <w:rFonts w:ascii="宋体" w:hAnsi="宋体"/>
          <w:sz w:val="24"/>
        </w:rPr>
      </w:pPr>
    </w:p>
    <w:p w:rsidR="00495195" w:rsidRDefault="00495195" w:rsidP="00495195">
      <w:pPr>
        <w:spacing w:line="360" w:lineRule="auto"/>
        <w:rPr>
          <w:rFonts w:ascii="黑体" w:eastAsia="黑体" w:hAnsi="华文细黑" w:cs="Arial"/>
          <w:color w:val="FF0000"/>
        </w:rPr>
      </w:pPr>
      <w:r>
        <w:rPr>
          <w:rFonts w:ascii="黑体" w:eastAsia="黑体" w:hAnsi="华文细黑" w:cs="Arial" w:hint="eastAsia"/>
          <w:color w:val="FF0000"/>
        </w:rPr>
        <w:t>◆ 读者定位</w:t>
      </w:r>
    </w:p>
    <w:p w:rsidR="00495195" w:rsidRDefault="00495195" w:rsidP="00495195">
      <w:pPr>
        <w:spacing w:line="360" w:lineRule="auto"/>
        <w:ind w:firstLineChars="200" w:firstLine="420"/>
        <w:rPr>
          <w:rFonts w:ascii="宋体" w:hAnsi="宋体"/>
        </w:rPr>
      </w:pPr>
      <w:r>
        <w:rPr>
          <w:rFonts w:ascii="宋体" w:hAnsi="宋体" w:hint="eastAsia"/>
        </w:rPr>
        <w:t>1、史学研究者</w:t>
      </w:r>
    </w:p>
    <w:p w:rsidR="00495195" w:rsidRDefault="00495195" w:rsidP="00495195">
      <w:pPr>
        <w:spacing w:line="360" w:lineRule="auto"/>
        <w:ind w:firstLineChars="200" w:firstLine="420"/>
        <w:rPr>
          <w:rFonts w:ascii="宋体" w:hAnsi="宋体"/>
        </w:rPr>
      </w:pPr>
      <w:r>
        <w:rPr>
          <w:rFonts w:ascii="宋体" w:hAnsi="宋体" w:hint="eastAsia"/>
        </w:rPr>
        <w:t>2、高中以上文化水平、历史爱好者</w:t>
      </w:r>
    </w:p>
    <w:p w:rsidR="00495195" w:rsidRDefault="00495195" w:rsidP="00495195">
      <w:pPr>
        <w:spacing w:line="360" w:lineRule="auto"/>
        <w:ind w:firstLineChars="200" w:firstLine="420"/>
        <w:rPr>
          <w:rFonts w:ascii="宋体" w:hAnsi="宋体"/>
        </w:rPr>
      </w:pPr>
      <w:r>
        <w:rPr>
          <w:rFonts w:ascii="宋体" w:hAnsi="宋体" w:hint="eastAsia"/>
        </w:rPr>
        <w:t>3、博物学爱好者</w:t>
      </w:r>
    </w:p>
    <w:p w:rsidR="00495195" w:rsidRDefault="00495195" w:rsidP="00495195">
      <w:pPr>
        <w:spacing w:line="360" w:lineRule="auto"/>
        <w:ind w:firstLineChars="200" w:firstLine="420"/>
        <w:rPr>
          <w:rFonts w:ascii="宋体" w:hAnsi="宋体"/>
        </w:rPr>
      </w:pPr>
      <w:r>
        <w:rPr>
          <w:rFonts w:ascii="宋体" w:hAnsi="宋体" w:hint="eastAsia"/>
        </w:rPr>
        <w:t>4、科学史爱好者</w:t>
      </w:r>
    </w:p>
    <w:p w:rsidR="00495195" w:rsidRPr="001F26E8" w:rsidRDefault="00495195" w:rsidP="00495195">
      <w:pPr>
        <w:spacing w:line="360" w:lineRule="auto"/>
        <w:rPr>
          <w:rFonts w:ascii="宋体" w:hAnsi="宋体"/>
        </w:rPr>
      </w:pPr>
      <w:bookmarkStart w:id="0" w:name="_Toc137445229"/>
      <w:bookmarkStart w:id="1" w:name="_Toc137356526"/>
    </w:p>
    <w:p w:rsidR="00495195" w:rsidRPr="00E21420" w:rsidRDefault="00495195" w:rsidP="00495195">
      <w:pPr>
        <w:numPr>
          <w:ilvl w:val="0"/>
          <w:numId w:val="1"/>
        </w:numPr>
        <w:spacing w:line="360" w:lineRule="auto"/>
        <w:rPr>
          <w:szCs w:val="21"/>
        </w:rPr>
      </w:pPr>
      <w:r>
        <w:rPr>
          <w:rFonts w:ascii="黑体" w:eastAsia="黑体" w:hAnsi="华文细黑" w:cs="Arial" w:hint="eastAsia"/>
          <w:color w:val="FF0000"/>
        </w:rPr>
        <w:t>作</w:t>
      </w:r>
      <w:r w:rsidRPr="003B75E2">
        <w:rPr>
          <w:rFonts w:ascii="黑体" w:eastAsia="黑体" w:hAnsi="华文细黑" w:cs="Arial"/>
          <w:color w:val="FF0000"/>
        </w:rPr>
        <w:t>者简介</w:t>
      </w:r>
    </w:p>
    <w:p w:rsidR="00495195" w:rsidRPr="00E21420" w:rsidRDefault="00495195" w:rsidP="00495195">
      <w:pPr>
        <w:spacing w:line="360" w:lineRule="auto"/>
        <w:rPr>
          <w:rFonts w:ascii="宋体" w:hAnsi="宋体"/>
        </w:rPr>
      </w:pPr>
      <w:r w:rsidRPr="00A003FC">
        <w:rPr>
          <w:rFonts w:ascii="宋体" w:hAnsi="宋体" w:hint="eastAsia"/>
        </w:rPr>
        <w:t>范发迪（</w:t>
      </w:r>
      <w:proofErr w:type="spellStart"/>
      <w:r w:rsidRPr="00A003FC">
        <w:rPr>
          <w:rFonts w:ascii="宋体" w:hAnsi="宋体" w:hint="eastAsia"/>
        </w:rPr>
        <w:t>Fa-ti</w:t>
      </w:r>
      <w:proofErr w:type="spellEnd"/>
      <w:r w:rsidRPr="00A003FC">
        <w:rPr>
          <w:rFonts w:ascii="宋体" w:hAnsi="宋体" w:hint="eastAsia"/>
        </w:rPr>
        <w:t xml:space="preserve"> Fan），1999年获得美国威斯康星大学麦迪逊分校博士学位，现为美国纽约州立大学宾汉姆顿分校副教授，主要从事科学史、环境史以及东亚研究。</w:t>
      </w:r>
    </w:p>
    <w:bookmarkEnd w:id="0"/>
    <w:bookmarkEnd w:id="1"/>
    <w:p w:rsidR="00495195" w:rsidRPr="003B75E2" w:rsidRDefault="00495195" w:rsidP="00495195">
      <w:pPr>
        <w:numPr>
          <w:ilvl w:val="0"/>
          <w:numId w:val="2"/>
        </w:numPr>
        <w:spacing w:line="360" w:lineRule="auto"/>
        <w:rPr>
          <w:color w:val="FF0000"/>
          <w:sz w:val="18"/>
          <w:szCs w:val="18"/>
        </w:rPr>
      </w:pPr>
      <w:r>
        <w:rPr>
          <w:rFonts w:ascii="黑体" w:eastAsia="黑体" w:hAnsi="华文细黑" w:cs="Arial" w:hint="eastAsia"/>
          <w:color w:val="FF0000"/>
        </w:rPr>
        <w:lastRenderedPageBreak/>
        <w:t>内容简介</w:t>
      </w:r>
    </w:p>
    <w:p w:rsidR="00495195" w:rsidRDefault="00495195" w:rsidP="00495195">
      <w:pPr>
        <w:spacing w:line="360" w:lineRule="auto"/>
        <w:rPr>
          <w:rFonts w:ascii="宋体" w:hAnsi="宋体" w:hint="eastAsia"/>
        </w:rPr>
      </w:pPr>
      <w:r w:rsidRPr="00A003FC">
        <w:rPr>
          <w:rFonts w:ascii="宋体" w:hAnsi="宋体" w:hint="eastAsia"/>
        </w:rPr>
        <w:t>博物学是19世纪在华欧洲人最广泛的科学活动。本书即从文化遭遇的观点去检视博物学史，从博物学的视角剖析近代中国与西方世界的交流与碰撞，特别关注文化遭遇下的知识传统和文化霸权问题，从一个独特的角度为读者揭示了近代中国在知识领域所经历的顿挫与转折，为学界开辟了研究中国近代知识转型的新路径。</w:t>
      </w:r>
    </w:p>
    <w:p w:rsidR="00A26FBE" w:rsidRDefault="00A26FBE" w:rsidP="00495195">
      <w:pPr>
        <w:spacing w:line="360" w:lineRule="auto"/>
        <w:rPr>
          <w:rFonts w:ascii="宋体" w:hAnsi="宋体"/>
        </w:rPr>
      </w:pPr>
    </w:p>
    <w:p w:rsidR="00495195" w:rsidRDefault="00495195" w:rsidP="00495195">
      <w:pPr>
        <w:spacing w:line="360" w:lineRule="auto"/>
        <w:rPr>
          <w:rFonts w:ascii="黑体" w:eastAsia="黑体"/>
          <w:b/>
          <w:color w:val="FF0000"/>
        </w:rPr>
      </w:pPr>
      <w:r>
        <w:rPr>
          <w:rFonts w:ascii="黑体" w:eastAsia="黑体" w:hint="eastAsia"/>
          <w:b/>
          <w:color w:val="FF0000"/>
        </w:rPr>
        <w:t>◆ 简要目录</w:t>
      </w:r>
    </w:p>
    <w:p w:rsidR="00495195" w:rsidRDefault="00495195" w:rsidP="00495195">
      <w:pPr>
        <w:rPr>
          <w:rFonts w:hint="eastAsia"/>
        </w:rPr>
      </w:pPr>
      <w:r>
        <w:rPr>
          <w:rFonts w:hint="eastAsia"/>
        </w:rPr>
        <w:t xml:space="preserve"> </w:t>
      </w:r>
      <w:r w:rsidRPr="00A003FC">
        <w:t>导言</w:t>
      </w:r>
      <w:r w:rsidRPr="00A003FC">
        <w:t> </w:t>
      </w:r>
      <w:r w:rsidRPr="00A003FC">
        <w:br/>
      </w:r>
      <w:r w:rsidRPr="00A003FC">
        <w:t>第一部分口岸</w:t>
      </w:r>
      <w:r w:rsidRPr="00A003FC">
        <w:t> </w:t>
      </w:r>
      <w:r w:rsidRPr="00A003FC">
        <w:br/>
      </w:r>
      <w:r w:rsidRPr="00A003FC">
        <w:t>第一章中国商埠中的博物学</w:t>
      </w:r>
      <w:r w:rsidRPr="00A003FC">
        <w:t> </w:t>
      </w:r>
      <w:r w:rsidRPr="00A003FC">
        <w:br/>
      </w:r>
      <w:r w:rsidRPr="00A003FC">
        <w:t>神秘花园</w:t>
      </w:r>
      <w:r w:rsidRPr="00A003FC">
        <w:t> </w:t>
      </w:r>
      <w:r w:rsidRPr="00A003FC">
        <w:br/>
      </w:r>
      <w:r w:rsidRPr="00A003FC">
        <w:t>交叉的世界，异国的商品</w:t>
      </w:r>
      <w:r w:rsidRPr="00A003FC">
        <w:t> </w:t>
      </w:r>
      <w:r w:rsidRPr="00A003FC">
        <w:br/>
      </w:r>
      <w:r w:rsidRPr="00A003FC">
        <w:t>贸易者兼博物学家</w:t>
      </w:r>
      <w:r w:rsidRPr="00A003FC">
        <w:t> </w:t>
      </w:r>
      <w:r w:rsidRPr="00A003FC">
        <w:br/>
      </w:r>
      <w:r w:rsidRPr="00A003FC">
        <w:t>园艺师兼采集员</w:t>
      </w:r>
      <w:r w:rsidRPr="00A003FC">
        <w:t> </w:t>
      </w:r>
      <w:r w:rsidRPr="00A003FC">
        <w:br/>
      </w:r>
      <w:r w:rsidRPr="00A003FC">
        <w:t>在市场上</w:t>
      </w:r>
      <w:r w:rsidRPr="00A003FC">
        <w:t> </w:t>
      </w:r>
      <w:r w:rsidRPr="00A003FC">
        <w:br/>
      </w:r>
      <w:r w:rsidRPr="00A003FC">
        <w:t>在行商的花园里</w:t>
      </w:r>
      <w:r w:rsidRPr="00A003FC">
        <w:t> </w:t>
      </w:r>
      <w:r w:rsidRPr="00A003FC">
        <w:br/>
      </w:r>
      <w:r w:rsidRPr="00A003FC">
        <w:t>植物的运输</w:t>
      </w:r>
      <w:r w:rsidRPr="00A003FC">
        <w:t> </w:t>
      </w:r>
      <w:r w:rsidRPr="00A003FC">
        <w:br/>
      </w:r>
      <w:r w:rsidRPr="00A003FC">
        <w:br/>
      </w:r>
      <w:r w:rsidRPr="00A003FC">
        <w:t>第二章艺术、商贸和博物学</w:t>
      </w:r>
      <w:r w:rsidRPr="00A003FC">
        <w:t> </w:t>
      </w:r>
      <w:r w:rsidRPr="00A003FC">
        <w:br/>
      </w:r>
      <w:r w:rsidRPr="00A003FC">
        <w:t>约翰</w:t>
      </w:r>
      <w:r w:rsidRPr="00A003FC">
        <w:t>•</w:t>
      </w:r>
      <w:r w:rsidRPr="00A003FC">
        <w:t>里夫斯</w:t>
      </w:r>
      <w:r w:rsidRPr="00A003FC">
        <w:t> </w:t>
      </w:r>
      <w:r w:rsidRPr="00A003FC">
        <w:br/>
      </w:r>
      <w:r w:rsidRPr="00A003FC">
        <w:t>以图收集</w:t>
      </w:r>
      <w:r w:rsidRPr="00A003FC">
        <w:t> </w:t>
      </w:r>
      <w:r w:rsidRPr="00A003FC">
        <w:br/>
      </w:r>
      <w:r w:rsidRPr="00A003FC">
        <w:t>洋画及视觉文化混合</w:t>
      </w:r>
      <w:r w:rsidRPr="00A003FC">
        <w:t> </w:t>
      </w:r>
      <w:r w:rsidRPr="00A003FC">
        <w:br/>
      </w:r>
      <w:r w:rsidRPr="00A003FC">
        <w:t>绘制自然</w:t>
      </w:r>
      <w:r w:rsidRPr="00A003FC">
        <w:t> </w:t>
      </w:r>
      <w:r w:rsidRPr="00A003FC">
        <w:br/>
      </w:r>
      <w:r w:rsidRPr="00A003FC">
        <w:t>博物学绘画成了文化遭遇的场所</w:t>
      </w:r>
      <w:r w:rsidRPr="00A003FC">
        <w:t> </w:t>
      </w:r>
      <w:r w:rsidRPr="00A003FC">
        <w:br/>
      </w:r>
      <w:r w:rsidRPr="00A003FC">
        <w:t>视觉的权威性和知识的生产</w:t>
      </w:r>
      <w:r w:rsidRPr="00A003FC">
        <w:t> </w:t>
      </w:r>
      <w:r w:rsidRPr="00A003FC">
        <w:br/>
      </w:r>
      <w:r w:rsidRPr="00A003FC">
        <w:br/>
      </w:r>
      <w:r w:rsidRPr="00A003FC">
        <w:t>第二部分地域</w:t>
      </w:r>
      <w:r w:rsidRPr="00A003FC">
        <w:t> </w:t>
      </w:r>
      <w:r w:rsidRPr="00A003FC">
        <w:br/>
      </w:r>
      <w:r w:rsidRPr="00A003FC">
        <w:br/>
      </w:r>
      <w:r w:rsidRPr="00A003FC">
        <w:t>第三章科学与非正式帝国</w:t>
      </w:r>
      <w:r w:rsidRPr="00A003FC">
        <w:t> </w:t>
      </w:r>
      <w:r w:rsidRPr="00A003FC">
        <w:br/>
      </w:r>
      <w:r w:rsidRPr="00A003FC">
        <w:t>香港植物园</w:t>
      </w:r>
      <w:r w:rsidRPr="00A003FC">
        <w:t> </w:t>
      </w:r>
      <w:r w:rsidRPr="00A003FC">
        <w:br/>
      </w:r>
      <w:r w:rsidRPr="00A003FC">
        <w:t>亨利</w:t>
      </w:r>
      <w:r w:rsidRPr="00A003FC">
        <w:t>•</w:t>
      </w:r>
      <w:proofErr w:type="gramStart"/>
      <w:r w:rsidRPr="00A003FC">
        <w:t>弗莱</w:t>
      </w:r>
      <w:proofErr w:type="gramEnd"/>
      <w:r w:rsidRPr="00A003FC">
        <w:t>彻</w:t>
      </w:r>
      <w:r w:rsidRPr="00A003FC">
        <w:t>•</w:t>
      </w:r>
      <w:r w:rsidRPr="00A003FC">
        <w:t>汉斯</w:t>
      </w:r>
      <w:r w:rsidRPr="00A003FC">
        <w:t> </w:t>
      </w:r>
      <w:r w:rsidRPr="00A003FC">
        <w:br/>
      </w:r>
      <w:r w:rsidRPr="00A003FC">
        <w:t>非正式帝国的机构</w:t>
      </w:r>
      <w:r w:rsidRPr="00A003FC">
        <w:t> </w:t>
      </w:r>
      <w:r w:rsidRPr="00A003FC">
        <w:br/>
      </w:r>
      <w:r w:rsidRPr="00A003FC">
        <w:t>科学网络</w:t>
      </w:r>
      <w:r w:rsidRPr="00A003FC">
        <w:t> </w:t>
      </w:r>
      <w:r w:rsidRPr="00A003FC">
        <w:br/>
      </w:r>
      <w:r w:rsidRPr="00A003FC">
        <w:t>传教士与商业机构</w:t>
      </w:r>
      <w:r w:rsidRPr="00A003FC">
        <w:t> </w:t>
      </w:r>
      <w:r w:rsidRPr="00A003FC">
        <w:br/>
      </w:r>
      <w:r w:rsidRPr="00A003FC">
        <w:t>科学帝国主义与事实型知识</w:t>
      </w:r>
      <w:r w:rsidRPr="00A003FC">
        <w:t> </w:t>
      </w:r>
      <w:r w:rsidRPr="00A003FC">
        <w:br/>
      </w:r>
      <w:r w:rsidRPr="00A003FC">
        <w:t>知识与帝国</w:t>
      </w:r>
      <w:r w:rsidRPr="00A003FC">
        <w:t> </w:t>
      </w:r>
      <w:r w:rsidRPr="00A003FC">
        <w:br/>
      </w:r>
      <w:r w:rsidRPr="00A003FC">
        <w:br/>
      </w:r>
      <w:r w:rsidRPr="00A003FC">
        <w:t>第四章汉学与博物学</w:t>
      </w:r>
      <w:r w:rsidRPr="00A003FC">
        <w:t> </w:t>
      </w:r>
      <w:r w:rsidRPr="00A003FC">
        <w:br/>
      </w:r>
      <w:r w:rsidRPr="00A003FC">
        <w:t>初探</w:t>
      </w:r>
      <w:r w:rsidRPr="00A003FC">
        <w:t> </w:t>
      </w:r>
      <w:r w:rsidRPr="00A003FC">
        <w:br/>
      </w:r>
      <w:r w:rsidRPr="00A003FC">
        <w:t>汉学兼博物学家</w:t>
      </w:r>
      <w:r w:rsidRPr="00A003FC">
        <w:t> </w:t>
      </w:r>
      <w:r w:rsidRPr="00A003FC">
        <w:br/>
      </w:r>
      <w:r w:rsidRPr="00A003FC">
        <w:lastRenderedPageBreak/>
        <w:t>学术身份认同和科学论述</w:t>
      </w:r>
      <w:r w:rsidRPr="00A003FC">
        <w:t> </w:t>
      </w:r>
      <w:r w:rsidRPr="00A003FC">
        <w:br/>
      </w:r>
      <w:r w:rsidRPr="00A003FC">
        <w:t>汉学探索与博物学的范畴</w:t>
      </w:r>
      <w:r w:rsidRPr="00A003FC">
        <w:t> </w:t>
      </w:r>
      <w:r w:rsidRPr="00A003FC">
        <w:br/>
      </w:r>
      <w:r w:rsidRPr="00A003FC">
        <w:t>中国传统的</w:t>
      </w:r>
      <w:r w:rsidRPr="00A003FC">
        <w:t>“</w:t>
      </w:r>
      <w:r w:rsidRPr="00A003FC">
        <w:t>博物学</w:t>
      </w:r>
      <w:r w:rsidRPr="00A003FC">
        <w:t>” </w:t>
      </w:r>
      <w:r w:rsidRPr="00A003FC">
        <w:br/>
      </w:r>
      <w:r w:rsidRPr="00A003FC">
        <w:t>文本实作</w:t>
      </w:r>
      <w:r w:rsidRPr="00A003FC">
        <w:t> </w:t>
      </w:r>
      <w:r w:rsidRPr="00A003FC">
        <w:br/>
      </w:r>
      <w:r w:rsidRPr="00A003FC">
        <w:t>从土龙到扬子鳄</w:t>
      </w:r>
      <w:r w:rsidRPr="00A003FC">
        <w:t> </w:t>
      </w:r>
      <w:r w:rsidRPr="00A003FC">
        <w:br/>
      </w:r>
      <w:r w:rsidRPr="00A003FC">
        <w:t>博物学与知识传译</w:t>
      </w:r>
      <w:r w:rsidRPr="00A003FC">
        <w:t> </w:t>
      </w:r>
      <w:r w:rsidRPr="00A003FC">
        <w:br/>
      </w:r>
      <w:r w:rsidRPr="00A003FC">
        <w:br/>
      </w:r>
      <w:r w:rsidRPr="00A003FC">
        <w:t>第五</w:t>
      </w:r>
      <w:proofErr w:type="gramStart"/>
      <w:r w:rsidRPr="00A003FC">
        <w:t>章内地</w:t>
      </w:r>
      <w:proofErr w:type="gramEnd"/>
      <w:r w:rsidRPr="00A003FC">
        <w:t>的旅行与实地考察</w:t>
      </w:r>
      <w:r w:rsidRPr="00A003FC">
        <w:t> </w:t>
      </w:r>
      <w:r>
        <w:br/>
      </w:r>
      <w:r w:rsidRPr="00A003FC">
        <w:t>在华的科学探察</w:t>
      </w:r>
      <w:r w:rsidRPr="00A003FC">
        <w:t> </w:t>
      </w:r>
      <w:r w:rsidRPr="00A003FC">
        <w:br/>
      </w:r>
      <w:r w:rsidRPr="00A003FC">
        <w:t>皇家植物园（邱园）的采集员</w:t>
      </w:r>
      <w:r w:rsidRPr="00A003FC">
        <w:t> </w:t>
      </w:r>
      <w:r w:rsidRPr="00A003FC">
        <w:br/>
      </w:r>
      <w:r w:rsidRPr="00A003FC">
        <w:t>旅行、行猎与博物学</w:t>
      </w:r>
      <w:r w:rsidRPr="00A003FC">
        <w:t> </w:t>
      </w:r>
      <w:r w:rsidRPr="00A003FC">
        <w:br/>
      </w:r>
      <w:r w:rsidRPr="00A003FC">
        <w:t>收集的模式</w:t>
      </w:r>
      <w:r w:rsidRPr="00A003FC">
        <w:t> </w:t>
      </w:r>
      <w:r>
        <w:br/>
      </w:r>
      <w:r w:rsidRPr="00A003FC">
        <w:t>权力、扮演与文化遭遇</w:t>
      </w:r>
      <w:r w:rsidRPr="00A003FC">
        <w:t> </w:t>
      </w:r>
      <w:r>
        <w:br/>
      </w:r>
      <w:proofErr w:type="gramStart"/>
      <w:r w:rsidRPr="00A003FC">
        <w:t>俗民知识</w:t>
      </w:r>
      <w:proofErr w:type="gramEnd"/>
      <w:r w:rsidRPr="00A003FC">
        <w:t> </w:t>
      </w:r>
      <w:r>
        <w:br/>
      </w:r>
      <w:r w:rsidRPr="00A003FC">
        <w:t>叙事、地图绘制和帝国空间</w:t>
      </w:r>
      <w:r w:rsidRPr="00A003FC">
        <w:t> </w:t>
      </w:r>
      <w:r w:rsidRPr="00A003FC">
        <w:br/>
      </w:r>
      <w:r w:rsidRPr="00A003FC">
        <w:t>结语</w:t>
      </w:r>
      <w:r w:rsidRPr="00A003FC">
        <w:t> </w:t>
      </w:r>
      <w:r w:rsidRPr="00A003FC">
        <w:br/>
      </w:r>
      <w:r w:rsidRPr="00A003FC">
        <w:br/>
      </w:r>
      <w:r w:rsidRPr="00A003FC">
        <w:t>附录：简要生平注释</w:t>
      </w:r>
      <w:r w:rsidRPr="00A003FC">
        <w:t> </w:t>
      </w:r>
      <w:r w:rsidRPr="00A003FC">
        <w:br/>
      </w:r>
      <w:r w:rsidRPr="00A003FC">
        <w:t>缩略语</w:t>
      </w:r>
      <w:r w:rsidRPr="00A003FC">
        <w:t> </w:t>
      </w:r>
      <w:r>
        <w:br/>
      </w:r>
      <w:r w:rsidRPr="00A003FC">
        <w:t>索引</w:t>
      </w:r>
      <w:r w:rsidRPr="00A003FC">
        <w:t> </w:t>
      </w:r>
      <w:r>
        <w:br/>
      </w:r>
      <w:r w:rsidRPr="00A003FC">
        <w:t>新译后记</w:t>
      </w:r>
    </w:p>
    <w:p w:rsidR="00A26FBE" w:rsidRPr="001F26E8" w:rsidRDefault="00A26FBE" w:rsidP="00495195"/>
    <w:p w:rsidR="00495195" w:rsidRDefault="00495195" w:rsidP="00495195">
      <w:pPr>
        <w:spacing w:line="360" w:lineRule="auto"/>
        <w:rPr>
          <w:rFonts w:ascii="黑体" w:eastAsia="黑体"/>
          <w:b/>
          <w:color w:val="FF0000"/>
        </w:rPr>
      </w:pPr>
      <w:r>
        <w:rPr>
          <w:rFonts w:ascii="黑体" w:eastAsia="黑体" w:hint="eastAsia"/>
          <w:b/>
          <w:color w:val="FF0000"/>
        </w:rPr>
        <w:t>◆ 上架建议</w:t>
      </w:r>
    </w:p>
    <w:p w:rsidR="00495195" w:rsidRDefault="00495195" w:rsidP="00495195">
      <w:pPr>
        <w:spacing w:line="360" w:lineRule="auto"/>
        <w:rPr>
          <w:b/>
          <w:szCs w:val="21"/>
        </w:rPr>
      </w:pPr>
      <w:r>
        <w:rPr>
          <w:rFonts w:hint="eastAsia"/>
          <w:b/>
          <w:szCs w:val="21"/>
        </w:rPr>
        <w:t>历史</w:t>
      </w:r>
    </w:p>
    <w:p w:rsidR="00495195" w:rsidRDefault="00495195" w:rsidP="00495195">
      <w:pPr>
        <w:pStyle w:val="2"/>
        <w:spacing w:line="360" w:lineRule="auto"/>
        <w:rPr>
          <w:highlight w:val="red"/>
          <w:lang w:eastAsia="zh-CN"/>
        </w:rPr>
      </w:pPr>
      <w:r>
        <w:rPr>
          <w:rFonts w:hint="eastAsia"/>
          <w:highlight w:val="red"/>
          <w:lang w:eastAsia="zh-CN"/>
        </w:rPr>
        <w:t>书摘</w:t>
      </w:r>
    </w:p>
    <w:p w:rsidR="00495195" w:rsidRDefault="00495195" w:rsidP="00495195">
      <w:r w:rsidRPr="00C61A3A">
        <w:rPr>
          <w:b/>
        </w:rPr>
        <w:t>科学帝国主义</w:t>
      </w:r>
      <w:r w:rsidRPr="00C61A3A">
        <w:t>是个有用的概念，它认识到了权力差别的事实（这里必须强调，权力差别必须在特定的环境中加以了解），并显示出博物学研究在欧洲扩张中的企图、组织及含义。</w:t>
      </w:r>
      <w:r w:rsidRPr="00C61A3A">
        <w:rPr>
          <w:b/>
        </w:rPr>
        <w:t>但是如果我们想要进一步知道科学帝国主义是如何在殖民地和其他非西方地区实地展开的，我们就不能忽视那些当地民众，以及他们的动机和行为。我很明白</w:t>
      </w:r>
      <w:r w:rsidRPr="00C61A3A">
        <w:rPr>
          <w:b/>
        </w:rPr>
        <w:t>“</w:t>
      </w:r>
      <w:r w:rsidRPr="00C61A3A">
        <w:rPr>
          <w:b/>
        </w:rPr>
        <w:t>当地人</w:t>
      </w:r>
      <w:r w:rsidRPr="00C61A3A">
        <w:rPr>
          <w:b/>
        </w:rPr>
        <w:t>”</w:t>
      </w:r>
      <w:r w:rsidRPr="00C61A3A">
        <w:rPr>
          <w:b/>
        </w:rPr>
        <w:t>（</w:t>
      </w:r>
      <w:r w:rsidRPr="00C61A3A">
        <w:rPr>
          <w:b/>
        </w:rPr>
        <w:t>natives</w:t>
      </w:r>
      <w:r w:rsidRPr="00C61A3A">
        <w:rPr>
          <w:b/>
        </w:rPr>
        <w:t>）、</w:t>
      </w:r>
      <w:r w:rsidRPr="00C61A3A">
        <w:rPr>
          <w:b/>
        </w:rPr>
        <w:t>“</w:t>
      </w:r>
      <w:r w:rsidRPr="00C61A3A">
        <w:rPr>
          <w:b/>
        </w:rPr>
        <w:t>俗民</w:t>
      </w:r>
      <w:r w:rsidRPr="00C61A3A">
        <w:rPr>
          <w:b/>
        </w:rPr>
        <w:t>”</w:t>
      </w:r>
      <w:r w:rsidRPr="00C61A3A">
        <w:rPr>
          <w:b/>
        </w:rPr>
        <w:t>（</w:t>
      </w:r>
      <w:r w:rsidRPr="00C61A3A">
        <w:rPr>
          <w:b/>
        </w:rPr>
        <w:t>indigenous people</w:t>
      </w:r>
      <w:r w:rsidRPr="00C61A3A">
        <w:rPr>
          <w:b/>
        </w:rPr>
        <w:t>）、</w:t>
      </w:r>
      <w:r w:rsidRPr="00C61A3A">
        <w:rPr>
          <w:b/>
        </w:rPr>
        <w:t>“</w:t>
      </w:r>
      <w:r w:rsidRPr="00C61A3A">
        <w:rPr>
          <w:b/>
        </w:rPr>
        <w:t>俗民知识</w:t>
      </w:r>
      <w:r w:rsidRPr="00C61A3A">
        <w:rPr>
          <w:b/>
        </w:rPr>
        <w:t>”</w:t>
      </w:r>
      <w:r w:rsidRPr="00C61A3A">
        <w:rPr>
          <w:b/>
        </w:rPr>
        <w:t>（</w:t>
      </w:r>
      <w:r w:rsidRPr="00C61A3A">
        <w:rPr>
          <w:b/>
        </w:rPr>
        <w:t>indigenous knowledge</w:t>
      </w:r>
      <w:r w:rsidRPr="00C61A3A">
        <w:rPr>
          <w:b/>
        </w:rPr>
        <w:t>）以及其他类似说法实际上并不理想，因为它们给人一种简单、纯粹、落后的印象，并暗示其具有被动、原始、不变的性质，所以仍然落入西方</w:t>
      </w:r>
      <w:r w:rsidRPr="00C61A3A">
        <w:rPr>
          <w:b/>
        </w:rPr>
        <w:t>/</w:t>
      </w:r>
      <w:r w:rsidRPr="00C61A3A">
        <w:rPr>
          <w:b/>
        </w:rPr>
        <w:t>非西方的二分法。</w:t>
      </w:r>
      <w:r w:rsidRPr="00C61A3A">
        <w:t>但是，由于这些说法已约定俗成，本书也随俗沿用。</w:t>
      </w:r>
      <w:r w:rsidRPr="00C61A3A">
        <w:t> </w:t>
      </w:r>
    </w:p>
    <w:p w:rsidR="00495195" w:rsidRDefault="00495195" w:rsidP="00495195">
      <w:r w:rsidRPr="00C61A3A">
        <w:br/>
      </w:r>
      <w:r w:rsidRPr="00C61A3A">
        <w:t>因此，</w:t>
      </w:r>
      <w:r w:rsidRPr="00C61A3A">
        <w:rPr>
          <w:b/>
        </w:rPr>
        <w:t>本书就力图还原参与博物学研究活动的各式各样的中国人，他们来自许多不同的社会阶层，有着不同的身份背景和知识技能。</w:t>
      </w:r>
      <w:r w:rsidRPr="00C61A3A">
        <w:t>在华的英国博物学家在从事研究考察时，时时与中国人打交道。这些中国人包括：官员、商人、草药师傅、买办、仆人、画师、工匠、渔人、园丁、和尚、翻译、街头小贩、临时工、农夫、猎户甚至孩童。研究中西关系的著作很少注意到英国人（或其他西方人）与一般中国民众在日常生活中的接触；因此，</w:t>
      </w:r>
      <w:r w:rsidRPr="00C61A3A">
        <w:rPr>
          <w:b/>
        </w:rPr>
        <w:t>本书以中国人和英国博物学家之间的交往为切入点，深入探索中西关系中某些被忽略的层面。西方对近代</w:t>
      </w:r>
      <w:r w:rsidRPr="00C61A3A">
        <w:rPr>
          <w:b/>
        </w:rPr>
        <w:lastRenderedPageBreak/>
        <w:t>中国史的书写似乎经历了一个辩证的过程，并且开始对过去二三十年来独尊的中国中心史观提出了质疑。然而，对中国沿海、海外华人以及中外关系的日渐增长的兴趣也并不意味着要回到费正清那一辈学者所依赖的冲击</w:t>
      </w:r>
      <w:r w:rsidRPr="00C61A3A">
        <w:rPr>
          <w:b/>
        </w:rPr>
        <w:t>—</w:t>
      </w:r>
      <w:r w:rsidRPr="00C61A3A">
        <w:rPr>
          <w:b/>
        </w:rPr>
        <w:t>反应模式或其他类似的线型现代化史观那里去，而是力图在全球背景下去理解中国历史的新开始。</w:t>
      </w:r>
      <w:r w:rsidRPr="00C61A3A">
        <w:t>近十年来，研究清史的西方学者，以彭慕兰（</w:t>
      </w:r>
      <w:r w:rsidRPr="00C61A3A">
        <w:t xml:space="preserve">Kenneth </w:t>
      </w:r>
      <w:proofErr w:type="spellStart"/>
      <w:r w:rsidRPr="00C61A3A">
        <w:t>Pomeranz</w:t>
      </w:r>
      <w:proofErr w:type="spellEnd"/>
      <w:r w:rsidRPr="00C61A3A">
        <w:t>）等为首，常强调在全球与比较背景下来思考中国经济与生态史，并借此对近代早期世界</w:t>
      </w:r>
      <w:proofErr w:type="gramStart"/>
      <w:r w:rsidRPr="00C61A3A">
        <w:t>史加以</w:t>
      </w:r>
      <w:proofErr w:type="gramEnd"/>
      <w:r w:rsidRPr="00C61A3A">
        <w:t>修正。</w:t>
      </w:r>
    </w:p>
    <w:p w:rsidR="00495195" w:rsidRDefault="00495195" w:rsidP="00495195"/>
    <w:p w:rsidR="00495195" w:rsidRPr="00C61A3A" w:rsidRDefault="00495195" w:rsidP="00495195">
      <w:pPr>
        <w:rPr>
          <w:color w:val="FF0000"/>
        </w:rPr>
      </w:pPr>
      <w:r w:rsidRPr="00C61A3A">
        <w:t>当然，任何一种研究在取材和视野上都得有所取舍。</w:t>
      </w:r>
      <w:r w:rsidRPr="00C61A3A">
        <w:rPr>
          <w:color w:val="FF0000"/>
        </w:rPr>
        <w:t>本书主要关注科学活动，因此侧重描写英国博物学家及其研究工作，只能尽量涵盖参与活动的中国人以及他们与英国人的互动。另一方面，关于这些中国人的史料不是付之阙如，就是零散殆尽，因此，要重构他们的生平、动机、贡献，实属不易。因为大多数的研究活动都是私下和非正式的，并且由于大多数中国人都是社会地位低下的民众，故而只能希望找到他们留下的蛛丝马迹。这些困难自然就限制了讲述真正均衡而多方面的文化遭遇史的可能性。这一问题并不为当前这一工作所独有，它出现在试图叙写人们遗失的历史的几乎每一位历史学家面前。但只要历史学家继续认真慎重地加以对待，收获将远多于风险。</w:t>
      </w:r>
      <w:r w:rsidRPr="00C61A3A">
        <w:rPr>
          <w:color w:val="FF0000"/>
        </w:rPr>
        <w:t> </w:t>
      </w:r>
    </w:p>
    <w:p w:rsidR="00495195" w:rsidRDefault="00495195" w:rsidP="00495195">
      <w:r w:rsidRPr="00C61A3A">
        <w:br/>
        <w:t>18</w:t>
      </w:r>
      <w:r w:rsidRPr="00C61A3A">
        <w:t>、</w:t>
      </w:r>
      <w:r w:rsidRPr="00C61A3A">
        <w:t>19</w:t>
      </w:r>
      <w:r w:rsidRPr="00C61A3A">
        <w:t>世纪英国人对中国自然界的调查研究经历了几个显著的阶段，本书的结构也相应分成两部分和五章。第一部分涵盖了</w:t>
      </w:r>
      <w:r w:rsidRPr="00C61A3A">
        <w:t>18</w:t>
      </w:r>
      <w:r w:rsidRPr="00C61A3A">
        <w:t>世纪中叶到鸦片战争这一长时段；第二部分描绘鸦片战争之后直至</w:t>
      </w:r>
      <w:r w:rsidRPr="00C61A3A">
        <w:t>20</w:t>
      </w:r>
      <w:r w:rsidRPr="00C61A3A">
        <w:t>世纪初的历史。两大部分内的各章主要依历史主题安排，但其间次序也大略根据时间顺序罗列。各章主题揭示出这段时期在华英国博物学家典型且最值得注意的科学活动，各章顺序也大致与该活动渐露头角的时间次序相对应。</w:t>
      </w:r>
      <w:r w:rsidRPr="00C61A3A">
        <w:t> </w:t>
      </w:r>
      <w:r w:rsidRPr="00C61A3A">
        <w:br/>
      </w:r>
    </w:p>
    <w:p w:rsidR="00495195" w:rsidRDefault="00495195" w:rsidP="00495195">
      <w:r w:rsidRPr="00C61A3A">
        <w:t>英国人在</w:t>
      </w:r>
      <w:r w:rsidRPr="00C61A3A">
        <w:t>18</w:t>
      </w:r>
      <w:r w:rsidRPr="00C61A3A">
        <w:t>世纪中叶之前鲜有机会对中国自然界进行调查。</w:t>
      </w:r>
      <w:r w:rsidRPr="00C61A3A">
        <w:t>18</w:t>
      </w:r>
      <w:r w:rsidRPr="00C61A3A">
        <w:t>世纪中叶之后，英国逐渐排挤其他欧洲国家的海上势力，并取得欧洲对华贸易的主导地位。贸易量日益增加，越来越多的英国人也因而来到中国。因为英国博物学文化的缘故，这些人中有不少博物学和相关活动的爱好者，这也正好为科学研究提供了人力与资源。</w:t>
      </w:r>
      <w:r w:rsidRPr="00C61A3A">
        <w:t>1757</w:t>
      </w:r>
      <w:r w:rsidRPr="00C61A3A">
        <w:t>年，清廷改变了对洋人的政策，将贸易活动限制在广州一个港口。这一政策持续了将近一个世纪，直到鸦片战争后方才戛然而止。本书第一部分主要讨论这一时期（后来在华洋人称之为</w:t>
      </w:r>
      <w:r w:rsidRPr="00C61A3A">
        <w:t>“</w:t>
      </w:r>
      <w:r w:rsidRPr="00C61A3A">
        <w:t>旧广州时期</w:t>
      </w:r>
      <w:r w:rsidRPr="00C61A3A">
        <w:t>”</w:t>
      </w:r>
      <w:r w:rsidRPr="00C61A3A">
        <w:t>），在广州这个贸易大港中英国人对博物学的兴趣与研究活动。我在书中认为当时与中国进行海外贸易的背景对解释英国人在华的博物学活动极为关键。不仅从事博物学及相关研究的人常常来自于商贸事业，而且这类研究的兴趣、制度和实作都与海外贸易活动息息相关。第一章描绘广州当地商贸与文化环境，并揭示其如何构成博物学相关科学活动的社会条件。在展现了这一宏观的场景之后，本书试图采取微观的角度，对旧广州时期的某些博物学活动加以详细的分析；于是第二章就聚焦审视英国博物学者与从事出口洋画的广州画师如何合作绘制动植物图鉴，并解析文化交流在科学与视觉表现当中的作用。</w:t>
      </w:r>
      <w:r w:rsidRPr="00C61A3A">
        <w:t> </w:t>
      </w:r>
    </w:p>
    <w:p w:rsidR="00495195" w:rsidRDefault="00495195" w:rsidP="00495195">
      <w:r w:rsidRPr="00C61A3A">
        <w:br/>
      </w:r>
      <w:r w:rsidRPr="00C61A3A">
        <w:t>本书第二部分探究从鸦片战争后开放通商口岸到</w:t>
      </w:r>
      <w:r w:rsidRPr="00C61A3A">
        <w:t>1911</w:t>
      </w:r>
      <w:r w:rsidRPr="00C61A3A">
        <w:t>年清朝覆亡这段时期。这个大的政治背景在很大程度上决定了英国人对中国动植物所采取的调查方式，因为它决定了博物学</w:t>
      </w:r>
      <w:proofErr w:type="gramStart"/>
      <w:r w:rsidRPr="00C61A3A">
        <w:t>家能否</w:t>
      </w:r>
      <w:proofErr w:type="gramEnd"/>
      <w:r w:rsidRPr="00C61A3A">
        <w:t>深入探索内地的自然世界；此外，博物学工作所依赖的人才、物资、组织也取决于或反映了中英关系的变化。在这一时期，英国人对中国大自然的调查有三个特别显著而互相关联的面向，简而言之，就是一个科学信息的帝国的形成，汉学与博物学的共同发展，以及考察与田野工作的活动日益增多。所以本书第二部分中的三章就分别处理这些历史议题。第三章以非正式帝国这个观念为出发点，勾画出在华英国博物学者以及支持其研究的各式组织机构的共同轮廓。</w:t>
      </w:r>
      <w:r w:rsidRPr="00C61A3A">
        <w:t> </w:t>
      </w:r>
      <w:r w:rsidRPr="00C61A3A">
        <w:br/>
      </w:r>
      <w:r w:rsidRPr="00C61A3A">
        <w:lastRenderedPageBreak/>
        <w:br/>
      </w:r>
      <w:r w:rsidRPr="00C61A3A">
        <w:t>第四章说明博物学中的文本传统和汉学研究的结合，并由此审视跨文化知识转译的实作。随着</w:t>
      </w:r>
      <w:r w:rsidRPr="00C61A3A">
        <w:t>19</w:t>
      </w:r>
      <w:r w:rsidRPr="00C61A3A">
        <w:t>世纪渐近尾声，英国博物学者越来越有机会与能力深入中国内部，科学考察与田野工作也随之愈加广泛活跃。从这个角度切入，第五章探讨了博物学与在华的旅行、狩猎、探险等英国帝国文化的关系。</w:t>
      </w:r>
      <w:r w:rsidRPr="00C61A3A">
        <w:t> </w:t>
      </w:r>
    </w:p>
    <w:p w:rsidR="00495195" w:rsidRDefault="00495195" w:rsidP="00495195"/>
    <w:p w:rsidR="002D3842" w:rsidRDefault="002D3842"/>
    <w:sectPr w:rsidR="002D3842" w:rsidSect="00A26FBE">
      <w:headerReference w:type="default" r:id="rId8"/>
      <w:footerReference w:type="default" r:id="rId9"/>
      <w:pgSz w:w="11906" w:h="16838"/>
      <w:pgMar w:top="1440" w:right="1797" w:bottom="1440" w:left="1797"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A15" w:rsidRDefault="00EA7A15" w:rsidP="0094701D">
      <w:r>
        <w:separator/>
      </w:r>
    </w:p>
  </w:endnote>
  <w:endnote w:type="continuationSeparator" w:id="0">
    <w:p w:rsidR="00EA7A15" w:rsidRDefault="00EA7A15" w:rsidP="0094701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E6" w:rsidRPr="00A26FBE" w:rsidRDefault="002F3BB8" w:rsidP="00A26FBE">
    <w:pPr>
      <w:pStyle w:val="a3"/>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A15" w:rsidRDefault="00EA7A15" w:rsidP="0094701D">
      <w:r>
        <w:separator/>
      </w:r>
    </w:p>
  </w:footnote>
  <w:footnote w:type="continuationSeparator" w:id="0">
    <w:p w:rsidR="00EA7A15" w:rsidRDefault="00EA7A15" w:rsidP="00947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E6" w:rsidRPr="00A73DBD" w:rsidRDefault="00A73DBD" w:rsidP="00A003FC">
    <w:pPr>
      <w:rPr>
        <w:rFonts w:ascii="华文行楷" w:eastAsia="华文行楷"/>
        <w:b/>
        <w:sz w:val="30"/>
        <w:szCs w:val="30"/>
      </w:rPr>
    </w:pPr>
    <w:r w:rsidRPr="00A8147F">
      <w:rPr>
        <w:rFonts w:ascii="华文行楷" w:eastAsia="华文行楷" w:hint="eastAsia"/>
        <w:b/>
        <w:sz w:val="30"/>
        <w:szCs w:val="30"/>
      </w:rPr>
      <w:t>人大社2018年2月新书快递</w:t>
    </w:r>
    <w:r w:rsidR="002F3BB8">
      <w:rPr>
        <w:rFonts w:ascii="华文行楷" w:eastAsia="华文行楷" w:hint="eastAsia"/>
        <w:b/>
        <w:sz w:val="32"/>
        <w:szCs w:val="32"/>
      </w:rPr>
      <w:t xml:space="preserve">  </w:t>
    </w:r>
    <w:r w:rsidRPr="00A73DBD">
      <w:rPr>
        <w:rFonts w:ascii="华文行楷" w:eastAsia="华文行楷" w:hint="eastAsia"/>
        <w:b/>
        <w:sz w:val="30"/>
        <w:szCs w:val="30"/>
      </w:rPr>
      <w:t>《</w:t>
    </w:r>
    <w:r w:rsidRPr="00A73DBD">
      <w:rPr>
        <w:rFonts w:ascii="华文行楷" w:eastAsia="华文行楷"/>
        <w:b/>
        <w:sz w:val="30"/>
        <w:szCs w:val="30"/>
      </w:rPr>
      <w:t>知识帝国：清代在华的英国博物学家（海外中国研究文库）</w:t>
    </w:r>
    <w:r w:rsidRPr="00A73DBD">
      <w:rPr>
        <w:rFonts w:ascii="华文行楷" w:eastAsia="华文行楷" w:hint="eastAsia"/>
        <w:b/>
        <w:sz w:val="30"/>
        <w:szCs w:val="3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multilevel"/>
    <w:tmpl w:val="0DDA0D25"/>
    <w:lvl w:ilvl="0">
      <w:numFmt w:val="bullet"/>
      <w:lvlText w:val="◆"/>
      <w:lvlJc w:val="left"/>
      <w:pPr>
        <w:tabs>
          <w:tab w:val="num" w:pos="360"/>
        </w:tabs>
        <w:ind w:left="360" w:hanging="360"/>
      </w:pPr>
      <w:rPr>
        <w:rFonts w:ascii="黑体" w:eastAsia="黑体" w:hAnsi="华文细黑" w:cs="Arial" w:hint="eastAsia"/>
        <w:color w:val="CC0000"/>
        <w:sz w:val="24"/>
      </w:rPr>
    </w:lvl>
    <w:lvl w:ilvl="1">
      <w:start w:val="1"/>
      <w:numFmt w:val="bullet"/>
      <w:lvlText w:val=""/>
      <w:lvlJc w:val="left"/>
      <w:pPr>
        <w:tabs>
          <w:tab w:val="num" w:pos="840"/>
        </w:tabs>
        <w:ind w:left="840" w:hanging="420"/>
      </w:pPr>
      <w:rPr>
        <w:rFonts w:ascii="Wingdings" w:hAnsi="Wingdings" w:hint="default"/>
        <w:color w:val="CC0000"/>
        <w:sz w:val="24"/>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24CC4E8C"/>
    <w:multiLevelType w:val="multilevel"/>
    <w:tmpl w:val="24CC4E8C"/>
    <w:lvl w:ilvl="0">
      <w:numFmt w:val="bullet"/>
      <w:lvlText w:val="◆"/>
      <w:lvlJc w:val="left"/>
      <w:pPr>
        <w:tabs>
          <w:tab w:val="num" w:pos="360"/>
        </w:tabs>
        <w:ind w:left="360" w:hanging="360"/>
      </w:pPr>
      <w:rPr>
        <w:rFonts w:ascii="黑体" w:eastAsia="黑体" w:hAnsi="华文细黑" w:cs="Arial" w:hint="eastAsia"/>
        <w:color w:val="CC0000"/>
        <w:sz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5195"/>
    <w:rsid w:val="002D3842"/>
    <w:rsid w:val="002F3BB8"/>
    <w:rsid w:val="00495195"/>
    <w:rsid w:val="0094701D"/>
    <w:rsid w:val="00A26FBE"/>
    <w:rsid w:val="00A73DBD"/>
    <w:rsid w:val="00EA7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95"/>
    <w:pPr>
      <w:widowControl w:val="0"/>
      <w:jc w:val="both"/>
    </w:pPr>
    <w:rPr>
      <w:rFonts w:ascii="Times New Roman" w:eastAsia="宋体" w:hAnsi="Times New Roman" w:cs="Times New Roman"/>
      <w:szCs w:val="20"/>
    </w:rPr>
  </w:style>
  <w:style w:type="paragraph" w:styleId="2">
    <w:name w:val="heading 2"/>
    <w:basedOn w:val="a"/>
    <w:next w:val="a"/>
    <w:link w:val="2Char"/>
    <w:qFormat/>
    <w:rsid w:val="00495195"/>
    <w:pPr>
      <w:keepNext/>
      <w:keepLines/>
      <w:widowControl/>
      <w:spacing w:before="260" w:after="260" w:line="416" w:lineRule="auto"/>
      <w:jc w:val="left"/>
      <w:outlineLvl w:val="1"/>
    </w:pPr>
    <w:rPr>
      <w:rFonts w:ascii="Arial" w:eastAsia="黑体" w:hAnsi="Arial"/>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95195"/>
    <w:rPr>
      <w:rFonts w:ascii="Arial" w:eastAsia="黑体" w:hAnsi="Arial" w:cs="Times New Roman"/>
      <w:b/>
      <w:bCs/>
      <w:kern w:val="0"/>
      <w:sz w:val="32"/>
      <w:szCs w:val="32"/>
      <w:lang w:eastAsia="en-US"/>
    </w:rPr>
  </w:style>
  <w:style w:type="paragraph" w:styleId="a3">
    <w:name w:val="footer"/>
    <w:basedOn w:val="a"/>
    <w:link w:val="Char"/>
    <w:rsid w:val="00495195"/>
    <w:pPr>
      <w:tabs>
        <w:tab w:val="center" w:pos="4153"/>
        <w:tab w:val="right" w:pos="8306"/>
      </w:tabs>
      <w:snapToGrid w:val="0"/>
      <w:jc w:val="left"/>
    </w:pPr>
    <w:rPr>
      <w:sz w:val="18"/>
      <w:szCs w:val="18"/>
    </w:rPr>
  </w:style>
  <w:style w:type="character" w:customStyle="1" w:styleId="Char">
    <w:name w:val="页脚 Char"/>
    <w:basedOn w:val="a0"/>
    <w:link w:val="a3"/>
    <w:rsid w:val="00495195"/>
    <w:rPr>
      <w:rFonts w:ascii="Times New Roman" w:eastAsia="宋体" w:hAnsi="Times New Roman" w:cs="Times New Roman"/>
      <w:sz w:val="18"/>
      <w:szCs w:val="18"/>
    </w:rPr>
  </w:style>
  <w:style w:type="paragraph" w:styleId="a4">
    <w:name w:val="Balloon Text"/>
    <w:basedOn w:val="a"/>
    <w:link w:val="Char0"/>
    <w:uiPriority w:val="99"/>
    <w:semiHidden/>
    <w:unhideWhenUsed/>
    <w:rsid w:val="00495195"/>
    <w:rPr>
      <w:sz w:val="18"/>
      <w:szCs w:val="18"/>
    </w:rPr>
  </w:style>
  <w:style w:type="character" w:customStyle="1" w:styleId="Char0">
    <w:name w:val="批注框文本 Char"/>
    <w:basedOn w:val="a0"/>
    <w:link w:val="a4"/>
    <w:uiPriority w:val="99"/>
    <w:semiHidden/>
    <w:rsid w:val="00495195"/>
    <w:rPr>
      <w:rFonts w:ascii="Times New Roman" w:eastAsia="宋体" w:hAnsi="Times New Roman" w:cs="Times New Roman"/>
      <w:sz w:val="18"/>
      <w:szCs w:val="18"/>
    </w:rPr>
  </w:style>
  <w:style w:type="paragraph" w:styleId="a5">
    <w:name w:val="header"/>
    <w:basedOn w:val="a"/>
    <w:link w:val="Char1"/>
    <w:uiPriority w:val="99"/>
    <w:semiHidden/>
    <w:unhideWhenUsed/>
    <w:rsid w:val="00A26FB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A26FB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209pc</dc:creator>
  <cp:keywords/>
  <dc:description/>
  <cp:lastModifiedBy>ZJB</cp:lastModifiedBy>
  <cp:revision>3</cp:revision>
  <dcterms:created xsi:type="dcterms:W3CDTF">2018-01-31T06:39:00Z</dcterms:created>
  <dcterms:modified xsi:type="dcterms:W3CDTF">2018-02-28T08:19:00Z</dcterms:modified>
</cp:coreProperties>
</file>